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4C41"/>
          <w:spacing w:val="8"/>
          <w:sz w:val="30"/>
          <w:szCs w:val="30"/>
          <w:bdr w:val="none" w:color="auto" w:sz="0" w:space="0"/>
          <w:shd w:val="clear" w:fill="FFFFFF"/>
        </w:rPr>
        <w:t>关于印发《外国人来山东工作便利化服务若干措施（试行）》的通知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18"/>
          <w:szCs w:val="18"/>
          <w:bdr w:val="none" w:color="auto" w:sz="0" w:space="0"/>
          <w:shd w:val="clear" w:fill="FFFFFF"/>
        </w:rPr>
        <w:t>鲁科字〔2019〕83号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各市科技局、人力资源社会保障局、外办、公安局，省直有关部门，有关高等院校，有关企业，中央驻鲁有关单位：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现将《外国人来山东工作便利化服务若干措施（试行）》印发给你们，请结合实际，认真抓好贯彻落实。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山东省科学技术厅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山东省人力资源和社会保障厅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山东省人民政府外事办公室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山东省公安厅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2019年9月1日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（此件主动公开）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B4D3B"/>
    <w:rsid w:val="655B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2020-01-10T00:47:00Z</dcterms:created>
  <dc:creator>T~T</dc:creator>
  <cp:lastModifiedBy>T~T</cp:lastModifiedBy>
  <dcterms:modified xsi:type="dcterms:W3CDTF">2020-01-10T00:48:27Z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